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00DC2" w14:textId="08D74029" w:rsidR="00873377" w:rsidRPr="00462C18" w:rsidRDefault="00462C18">
      <w:pPr>
        <w:rPr>
          <w:rFonts w:ascii="DIN" w:hAnsi="DIN"/>
          <w:b/>
          <w:bCs/>
        </w:rPr>
      </w:pPr>
      <w:r w:rsidRPr="00462C18">
        <w:rPr>
          <w:rFonts w:ascii="DIN" w:hAnsi="DIN"/>
          <w:b/>
          <w:bCs/>
          <w:noProof/>
        </w:rPr>
        <w:drawing>
          <wp:anchor distT="0" distB="0" distL="114300" distR="114300" simplePos="0" relativeHeight="251658240" behindDoc="1" locked="0" layoutInCell="1" allowOverlap="1" wp14:anchorId="42951361" wp14:editId="611893B8">
            <wp:simplePos x="0" y="0"/>
            <wp:positionH relativeFrom="column">
              <wp:posOffset>4538980</wp:posOffset>
            </wp:positionH>
            <wp:positionV relativeFrom="paragraph">
              <wp:posOffset>-394970</wp:posOffset>
            </wp:positionV>
            <wp:extent cx="1057275" cy="320675"/>
            <wp:effectExtent l="0" t="0" r="9525" b="317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7275" cy="320675"/>
                    </a:xfrm>
                    <a:prstGeom prst="rect">
                      <a:avLst/>
                    </a:prstGeom>
                  </pic:spPr>
                </pic:pic>
              </a:graphicData>
            </a:graphic>
            <wp14:sizeRelH relativeFrom="page">
              <wp14:pctWidth>0</wp14:pctWidth>
            </wp14:sizeRelH>
            <wp14:sizeRelV relativeFrom="page">
              <wp14:pctHeight>0</wp14:pctHeight>
            </wp14:sizeRelV>
          </wp:anchor>
        </w:drawing>
      </w:r>
      <w:r w:rsidR="003619B8" w:rsidRPr="00462C18">
        <w:rPr>
          <w:rFonts w:ascii="DIN" w:hAnsi="DIN"/>
          <w:b/>
          <w:bCs/>
        </w:rPr>
        <w:t xml:space="preserve">Beloningsbeleid </w:t>
      </w:r>
      <w:r w:rsidR="009C198B" w:rsidRPr="00462C18">
        <w:rPr>
          <w:rFonts w:ascii="DIN" w:hAnsi="DIN"/>
          <w:b/>
          <w:bCs/>
        </w:rPr>
        <w:t xml:space="preserve">bij </w:t>
      </w:r>
      <w:r w:rsidR="003619B8" w:rsidRPr="00462C18">
        <w:rPr>
          <w:rFonts w:ascii="DIN" w:hAnsi="DIN"/>
          <w:b/>
          <w:bCs/>
        </w:rPr>
        <w:t>Triangel Groep</w:t>
      </w:r>
    </w:p>
    <w:p w14:paraId="32D096BE" w14:textId="148FF849" w:rsidR="003619B8" w:rsidRPr="00462C18" w:rsidRDefault="003619B8">
      <w:pPr>
        <w:rPr>
          <w:rFonts w:ascii="DIN" w:hAnsi="DIN"/>
        </w:rPr>
      </w:pPr>
      <w:r w:rsidRPr="00462C18">
        <w:rPr>
          <w:rFonts w:ascii="DIN" w:hAnsi="DIN"/>
        </w:rPr>
        <w:t xml:space="preserve">Het inkomen van </w:t>
      </w:r>
      <w:r w:rsidR="009C198B" w:rsidRPr="00462C18">
        <w:rPr>
          <w:rFonts w:ascii="DIN" w:hAnsi="DIN"/>
        </w:rPr>
        <w:t>onze</w:t>
      </w:r>
      <w:r w:rsidRPr="00462C18">
        <w:rPr>
          <w:rFonts w:ascii="DIN" w:hAnsi="DIN"/>
        </w:rPr>
        <w:t xml:space="preserve"> medewerkers bestaat uit een vast maandloon en de vakantietoeslag. Afhankelijk van de inzet en/of een bijzondere prestatie kan jaarlijks een beloning worden toegekend die niet meer bedraagt dan 1 maandloon. </w:t>
      </w:r>
      <w:r w:rsidR="008E2CBB">
        <w:rPr>
          <w:rFonts w:ascii="DIN" w:hAnsi="DIN"/>
        </w:rPr>
        <w:t>Deze beloning is niet afhankelijk van de opbrengst van 1 van onze klanten, dit om te voorkomen dat er een financiële prikkel ontstaat die mogelijk niet in het belang is van onze klanten. De hoogte van de beloning wordt gebaseerd op de tevredenheid van onze klanten.</w:t>
      </w:r>
    </w:p>
    <w:sectPr w:rsidR="003619B8" w:rsidRPr="00462C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IN">
    <w:altName w:val="Calibri"/>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9B8"/>
    <w:rsid w:val="003619B8"/>
    <w:rsid w:val="00462C18"/>
    <w:rsid w:val="00873377"/>
    <w:rsid w:val="008E2CBB"/>
    <w:rsid w:val="009C198B"/>
    <w:rsid w:val="00B469C3"/>
    <w:rsid w:val="00F605D0"/>
    <w:rsid w:val="00F733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213D"/>
  <w15:chartTrackingRefBased/>
  <w15:docId w15:val="{979D0035-77A8-4443-A299-6767505F2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81</Words>
  <Characters>448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Meijer</dc:creator>
  <cp:keywords/>
  <dc:description/>
  <cp:lastModifiedBy>Michelle Meijer</cp:lastModifiedBy>
  <cp:revision>4</cp:revision>
  <dcterms:created xsi:type="dcterms:W3CDTF">2022-08-09T09:19:00Z</dcterms:created>
  <dcterms:modified xsi:type="dcterms:W3CDTF">2022-11-16T08:48:00Z</dcterms:modified>
</cp:coreProperties>
</file>